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Anexo 10</w:t>
      </w:r>
    </w:p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Meteorología (DAC)</w:t>
      </w:r>
    </w:p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Sistema de comunicación de voz</w:t>
      </w:r>
      <w:r w:rsidR="0072532C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</w:t>
      </w: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(SCV)</w:t>
      </w:r>
    </w:p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VHF (frecuencias, rango extendido)</w:t>
      </w:r>
      <w:bookmarkStart w:id="0" w:name="_GoBack"/>
      <w:bookmarkEnd w:id="0"/>
    </w:p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Red Satelital DINAC</w:t>
      </w:r>
    </w:p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REDDIG</w:t>
      </w:r>
    </w:p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Redes IP (Conceptos básicos)</w:t>
      </w:r>
    </w:p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Red de fibra DINAC</w:t>
      </w:r>
    </w:p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Central telefónica PABX (GTE)</w:t>
      </w:r>
    </w:p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Sistema de redundancia activa y automática (SRAA) (Enlace entre MRA y AISP)</w:t>
      </w:r>
    </w:p>
    <w:p w:rsidR="00207214" w:rsidRPr="00207214" w:rsidRDefault="00207214" w:rsidP="0020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07214">
        <w:rPr>
          <w:rFonts w:ascii="Times New Roman" w:eastAsia="Times New Roman" w:hAnsi="Times New Roman" w:cs="Times New Roman"/>
          <w:sz w:val="24"/>
          <w:szCs w:val="24"/>
          <w:lang w:eastAsia="es-PY"/>
        </w:rPr>
        <w:t>.  Rango de direcciones IP utilizadas en los Nodos.</w:t>
      </w:r>
    </w:p>
    <w:p w:rsidR="00CD4A20" w:rsidRDefault="0072532C"/>
    <w:sectPr w:rsidR="00CD4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14"/>
    <w:rsid w:val="000D19F4"/>
    <w:rsid w:val="00207214"/>
    <w:rsid w:val="0072532C"/>
    <w:rsid w:val="00B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Fernandez</dc:creator>
  <cp:lastModifiedBy>Roberto Fernandez</cp:lastModifiedBy>
  <cp:revision>2</cp:revision>
  <dcterms:created xsi:type="dcterms:W3CDTF">2015-12-15T13:27:00Z</dcterms:created>
  <dcterms:modified xsi:type="dcterms:W3CDTF">2015-12-15T13:27:00Z</dcterms:modified>
</cp:coreProperties>
</file>